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1E" w:rsidRDefault="009D021E" w:rsidP="009D021E">
      <w:pPr>
        <w:pStyle w:val="a3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D021E">
        <w:rPr>
          <w:rFonts w:ascii="TH SarabunIT๙" w:hAnsi="TH SarabunIT๙" w:cs="TH SarabunIT๙" w:hint="cs"/>
          <w:b/>
          <w:bCs/>
          <w:sz w:val="40"/>
          <w:szCs w:val="40"/>
          <w:cs/>
        </w:rPr>
        <w:t>1 การใช้ที่ดินทางการเกษตร</w:t>
      </w:r>
    </w:p>
    <w:p w:rsidR="009D021E" w:rsidRPr="009D021E" w:rsidRDefault="009D021E" w:rsidP="009D021E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9D021E" w:rsidRPr="00673E36" w:rsidRDefault="009D021E" w:rsidP="009D0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D021E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673E36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ขนาดพื้นที่และการใช้ประโยชน์ที่ดิน</w:t>
      </w:r>
    </w:p>
    <w:p w:rsidR="009D021E" w:rsidRDefault="00207068" w:rsidP="00F7556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9D021E" w:rsidRPr="009D021E">
        <w:rPr>
          <w:rFonts w:ascii="TH SarabunIT๙" w:hAnsi="TH SarabunIT๙" w:cs="TH SarabunIT๙" w:hint="cs"/>
          <w:sz w:val="32"/>
          <w:szCs w:val="32"/>
          <w:cs/>
        </w:rPr>
        <w:t>จังหวัดพะเยา  มีพื้นที่  6,335.06  ตารางกิโลเมตร  หรือ  3,959,412  ไร่</w:t>
      </w:r>
      <w:r w:rsidR="002D29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9C6">
        <w:rPr>
          <w:rFonts w:ascii="TH SarabunIT๙" w:hAnsi="TH SarabunIT๙" w:cs="TH SarabunIT๙" w:hint="cs"/>
          <w:sz w:val="32"/>
          <w:szCs w:val="32"/>
          <w:cs/>
        </w:rPr>
        <w:t xml:space="preserve">ในปี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พ.ศ. 2562</w:t>
      </w:r>
      <w:r w:rsidR="002D29C6"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พื้นที่จังหวัดพะ</w:t>
      </w:r>
      <w:r w:rsidR="00741952">
        <w:rPr>
          <w:rFonts w:ascii="TH SarabunIT๙" w:hAnsi="TH SarabunIT๙" w:cs="TH SarabunIT๙" w:hint="cs"/>
          <w:sz w:val="32"/>
          <w:szCs w:val="32"/>
          <w:cs/>
        </w:rPr>
        <w:t xml:space="preserve">เยา  เป็นเนื้อทีป่าไม้  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3,186.24</w:t>
      </w:r>
      <w:r w:rsidR="00AF2C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ตารางกิโลเมตร หรือ  1,991,403</w:t>
      </w:r>
      <w:r w:rsidR="00AF2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952">
        <w:rPr>
          <w:rFonts w:ascii="TH SarabunIT๙" w:hAnsi="TH SarabunIT๙" w:cs="TH SarabunIT๙" w:hint="cs"/>
          <w:sz w:val="32"/>
          <w:szCs w:val="32"/>
          <w:cs/>
        </w:rPr>
        <w:t xml:space="preserve">ไร่  </w:t>
      </w:r>
      <w:r w:rsidR="00AF2C38">
        <w:rPr>
          <w:rFonts w:ascii="TH SarabunIT๙" w:hAnsi="TH SarabunIT๙" w:cs="TH SarabunIT๙" w:hint="cs"/>
          <w:sz w:val="32"/>
          <w:szCs w:val="32"/>
          <w:cs/>
        </w:rPr>
        <w:t>คิดเป็นร้อยละ  50.29</w:t>
      </w:r>
      <w:r w:rsidR="002D29C6"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ของพื้นที่ทั้งหมด  เป็นเนื้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อที่ถือครองทางการเกษตร  2,405.82</w:t>
      </w:r>
      <w:r w:rsidR="00741952">
        <w:rPr>
          <w:rFonts w:ascii="TH SarabunIT๙" w:hAnsi="TH SarabunIT๙" w:cs="TH SarabunIT๙" w:hint="cs"/>
          <w:sz w:val="32"/>
          <w:szCs w:val="32"/>
          <w:cs/>
        </w:rPr>
        <w:t xml:space="preserve">  ตารางกิโลเมตร  หรือ  1,50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3,635  ไร่  คิดเป็นร้อยละ  37.98</w:t>
      </w:r>
      <w:r w:rsidR="002D29C6"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ของพื้นที่ทั้งหมด  แล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ะเป็นเนื้อที่นอกการเกษตร  743  ตารางกิโลเมตร  หรือ 464,374  ไร่  คิดเป็นร้อย  11.72</w:t>
      </w:r>
      <w:r w:rsidR="002D29C6"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ของพื้นที่ทั้งหมด</w:t>
      </w:r>
    </w:p>
    <w:p w:rsidR="002D29C6" w:rsidRPr="009C4196" w:rsidRDefault="002D29C6" w:rsidP="009D021E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C0FF9" w:rsidRDefault="00FE1435" w:rsidP="00FA486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E3548B" wp14:editId="462F4DE9">
            <wp:simplePos x="0" y="0"/>
            <wp:positionH relativeFrom="column">
              <wp:posOffset>110490</wp:posOffset>
            </wp:positionH>
            <wp:positionV relativeFrom="paragraph">
              <wp:posOffset>258445</wp:posOffset>
            </wp:positionV>
            <wp:extent cx="5295900" cy="5114925"/>
            <wp:effectExtent l="0" t="0" r="19050" b="9525"/>
            <wp:wrapTight wrapText="bothSides">
              <wp:wrapPolygon edited="0">
                <wp:start x="0" y="0"/>
                <wp:lineTo x="0" y="21560"/>
                <wp:lineTo x="21600" y="21560"/>
                <wp:lineTo x="21600" y="0"/>
                <wp:lineTo x="0" y="0"/>
              </wp:wrapPolygon>
            </wp:wrapTight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C6" w:rsidRPr="002D29C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แผนภูมิที่  1</w:t>
      </w:r>
      <w:r w:rsidR="002D29C6">
        <w:rPr>
          <w:rFonts w:ascii="TH SarabunIT๙" w:hAnsi="TH SarabunIT๙" w:cs="TH SarabunIT๙" w:hint="cs"/>
          <w:sz w:val="32"/>
          <w:szCs w:val="32"/>
          <w:cs/>
        </w:rPr>
        <w:t xml:space="preserve">  แสดงอัตราส่วนการใช้ประโยชน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์ที่ดินจังหวัดพะเยา ปี พ.ศ. 2562</w:t>
      </w:r>
    </w:p>
    <w:p w:rsidR="000C0FF9" w:rsidRPr="00102316" w:rsidRDefault="00102316" w:rsidP="009D021E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>
        <w:rPr>
          <w:rFonts w:ascii="TH SarabunIT๙" w:hAnsi="TH SarabunIT๙" w:cs="TH SarabunIT๙"/>
          <w:sz w:val="24"/>
          <w:szCs w:val="24"/>
        </w:rPr>
        <w:t xml:space="preserve">:  </w:t>
      </w:r>
      <w:r>
        <w:rPr>
          <w:rFonts w:ascii="TH SarabunIT๙" w:hAnsi="TH SarabunIT๙" w:cs="TH SarabunIT๙" w:hint="cs"/>
          <w:sz w:val="24"/>
          <w:szCs w:val="24"/>
          <w:cs/>
        </w:rPr>
        <w:t>สำนักงานสถิติแห่งชาติ (</w:t>
      </w:r>
      <w:r>
        <w:rPr>
          <w:rFonts w:ascii="TH SarabunIT๙" w:hAnsi="TH SarabunIT๙" w:cs="TH SarabunIT๙"/>
          <w:sz w:val="24"/>
          <w:szCs w:val="24"/>
        </w:rPr>
        <w:t>WWW nso.go.th</w:t>
      </w:r>
      <w:r>
        <w:rPr>
          <w:rFonts w:ascii="TH SarabunIT๙" w:hAnsi="TH SarabunIT๙" w:cs="TH SarabunIT๙" w:hint="cs"/>
          <w:sz w:val="24"/>
          <w:szCs w:val="24"/>
          <w:cs/>
        </w:rPr>
        <w:t>) สถิติการใช้ที่ดินจังหวัดพ</w:t>
      </w:r>
      <w:r w:rsidR="007A1DAD">
        <w:rPr>
          <w:rFonts w:ascii="TH SarabunIT๙" w:hAnsi="TH SarabunIT๙" w:cs="TH SarabunIT๙" w:hint="cs"/>
          <w:sz w:val="24"/>
          <w:szCs w:val="24"/>
          <w:cs/>
        </w:rPr>
        <w:t>ะเยา ปี 2562  ณ  30 กันยายน 2563</w:t>
      </w:r>
    </w:p>
    <w:p w:rsidR="000C0FF9" w:rsidRDefault="000C0FF9" w:rsidP="009D021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2B36" w:rsidRDefault="003A2B36" w:rsidP="009D021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2B36" w:rsidRDefault="003A2B36" w:rsidP="009D021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75567" w:rsidRDefault="00F75567" w:rsidP="009D021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2B36" w:rsidRDefault="003A2B36" w:rsidP="009D021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02316" w:rsidRDefault="00102316" w:rsidP="009D021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0FF9" w:rsidRDefault="000C0FF9" w:rsidP="00FA486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การใช้ที่ดิ</w:t>
      </w:r>
      <w:r w:rsidR="00B2275D">
        <w:rPr>
          <w:rFonts w:ascii="TH SarabunIT๙" w:hAnsi="TH SarabunIT๙" w:cs="TH SarabunIT๙" w:hint="cs"/>
          <w:sz w:val="32"/>
          <w:szCs w:val="32"/>
          <w:cs/>
        </w:rPr>
        <w:t>นเพื่อทำการเกษตรจำนวน  1,50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3,635  ไร่   คิดเป็นร้อยละ   37.98</w:t>
      </w:r>
      <w:r w:rsidR="00102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ของพื้นที่ทั้งหมด</w:t>
      </w:r>
      <w:r w:rsidR="001010FB">
        <w:rPr>
          <w:rFonts w:ascii="TH SarabunIT๙" w:hAnsi="TH SarabunIT๙" w:cs="TH SarabunIT๙" w:hint="cs"/>
          <w:sz w:val="32"/>
          <w:szCs w:val="32"/>
          <w:cs/>
        </w:rPr>
        <w:t>( 3,959,412  ไร่ )  ของจังหวัด  โดยแบ่งเป็น</w:t>
      </w:r>
    </w:p>
    <w:p w:rsidR="001010FB" w:rsidRDefault="001010FB" w:rsidP="001010F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1010FB" w:rsidRDefault="001010FB" w:rsidP="001010F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729,910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ไร่ เท่ากับร้อยละ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48.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ของพื้นที่ทางการเกษตร</w:t>
      </w:r>
    </w:p>
    <w:p w:rsidR="001010FB" w:rsidRDefault="001010FB" w:rsidP="001010F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ที่ไร่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307,389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ไร่ เท่ากับร้อยละ 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20.44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ของพื้นที่ทางการเกษตร</w:t>
      </w:r>
    </w:p>
    <w:p w:rsidR="001010FB" w:rsidRDefault="001010FB" w:rsidP="001010F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ที่ไม้ผลและไม้ยืนต้น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361,840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ไร่ เท่ากับร้อยละ 24.0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ของพื้นที่ทางการเกษตร</w:t>
      </w:r>
    </w:p>
    <w:p w:rsidR="001010FB" w:rsidRDefault="001010FB" w:rsidP="001010F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ที่สวน(ผัก,ไม้ดอก,ไม้ประดับ) 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25,496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ab/>
        <w:t>ไร่ เท่ากับร้อยละ   1.70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ของพื้นที่ทางการเกษตร</w:t>
      </w:r>
    </w:p>
    <w:p w:rsidR="001010FB" w:rsidRDefault="001010FB" w:rsidP="001010F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การเกษตรอื่นๆ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79,000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ไร่ เท่ากับร้อยละ   5.2</w:t>
      </w:r>
      <w:r w:rsidR="007A1DA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ของพื้นที่ทางการเกษตร</w:t>
      </w:r>
    </w:p>
    <w:p w:rsidR="002D0D40" w:rsidRDefault="002D0D40" w:rsidP="001010F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2D0D40" w:rsidRDefault="002D0D40" w:rsidP="00FE143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2D0D4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แสดงอัตราส่วนการใช้ที่ดินเพื่อการเกษตรจังหวัดพะเยา</w:t>
      </w:r>
    </w:p>
    <w:p w:rsidR="003D4504" w:rsidRDefault="003D4504" w:rsidP="00F7556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C3C5B95" wp14:editId="329250FA">
            <wp:simplePos x="0" y="0"/>
            <wp:positionH relativeFrom="column">
              <wp:posOffset>15240</wp:posOffset>
            </wp:positionH>
            <wp:positionV relativeFrom="paragraph">
              <wp:posOffset>36195</wp:posOffset>
            </wp:positionV>
            <wp:extent cx="5562600" cy="42481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0D40" w:rsidRDefault="002D0D40" w:rsidP="003D450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ลักษณะการถือ</w:t>
      </w:r>
      <w:r w:rsidR="008319CF">
        <w:rPr>
          <w:rFonts w:ascii="TH SarabunIT๙" w:hAnsi="TH SarabunIT๙" w:cs="TH SarabunIT๙" w:hint="cs"/>
          <w:sz w:val="32"/>
          <w:szCs w:val="32"/>
          <w:cs/>
        </w:rPr>
        <w:t>ครองที่ดินทางการเกษตร พ.ศ. 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พื้นที่ใช้ประโยชน์ทางการเกษตร</w:t>
      </w:r>
      <w:r w:rsidR="00955D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19CF">
        <w:rPr>
          <w:rFonts w:ascii="TH SarabunIT๙" w:hAnsi="TH SarabunIT๙" w:cs="TH SarabunIT๙" w:hint="cs"/>
          <w:sz w:val="32"/>
          <w:szCs w:val="32"/>
          <w:cs/>
        </w:rPr>
        <w:t>จำนวน  1,503,635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55DDA">
        <w:rPr>
          <w:rFonts w:ascii="TH SarabunIT๙" w:hAnsi="TH SarabunIT๙" w:cs="TH SarabunIT๙" w:hint="cs"/>
          <w:sz w:val="32"/>
          <w:szCs w:val="32"/>
          <w:cs/>
        </w:rPr>
        <w:t xml:space="preserve">ไร่  เป็นพื้นที่ของตนเอง  จำนวน  </w:t>
      </w:r>
      <w:r w:rsidR="008319CF">
        <w:rPr>
          <w:rFonts w:ascii="TH SarabunIT๙" w:hAnsi="TH SarabunIT๙" w:cs="TH SarabunIT๙" w:hint="cs"/>
          <w:sz w:val="32"/>
          <w:szCs w:val="32"/>
          <w:cs/>
        </w:rPr>
        <w:t>739,817  ไร่  คิดเป็นร้อยละ  49.20</w:t>
      </w:r>
      <w:r w:rsidR="00955DDA"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ของพื้นที่ทางการเกษตร  และเป็นพ</w:t>
      </w:r>
      <w:r w:rsidR="008319CF">
        <w:rPr>
          <w:rFonts w:ascii="TH SarabunIT๙" w:hAnsi="TH SarabunIT๙" w:cs="TH SarabunIT๙" w:hint="cs"/>
          <w:sz w:val="32"/>
          <w:szCs w:val="32"/>
          <w:cs/>
        </w:rPr>
        <w:t>ื้นที่ของผู้อื่น  จำนวน  763,818  ไร่  คิดเป็นร้อยละ  50.80</w:t>
      </w:r>
      <w:r w:rsidR="00955DDA">
        <w:rPr>
          <w:rFonts w:ascii="TH SarabunIT๙" w:hAnsi="TH SarabunIT๙" w:cs="TH SarabunIT๙" w:hint="cs"/>
          <w:sz w:val="32"/>
          <w:szCs w:val="32"/>
          <w:cs/>
        </w:rPr>
        <w:t xml:space="preserve">  ของพื้นที่ทางการเกษตร</w:t>
      </w:r>
    </w:p>
    <w:p w:rsidR="00955DDA" w:rsidRDefault="00955DDA" w:rsidP="009D021E">
      <w:pPr>
        <w:pStyle w:val="a3"/>
        <w:rPr>
          <w:rFonts w:ascii="TH SarabunIT๙" w:hAnsi="TH SarabunIT๙" w:cs="TH SarabunIT๙"/>
          <w:sz w:val="24"/>
          <w:szCs w:val="24"/>
        </w:rPr>
      </w:pPr>
      <w:r w:rsidRPr="00955DDA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955DDA">
        <w:rPr>
          <w:rFonts w:ascii="TH SarabunIT๙" w:hAnsi="TH SarabunIT๙" w:cs="TH SarabunIT๙"/>
          <w:sz w:val="24"/>
          <w:szCs w:val="24"/>
        </w:rPr>
        <w:t xml:space="preserve">: </w:t>
      </w:r>
      <w:r w:rsidR="003D4504">
        <w:rPr>
          <w:rFonts w:ascii="TH SarabunIT๙" w:hAnsi="TH SarabunIT๙" w:cs="TH SarabunIT๙" w:hint="cs"/>
          <w:sz w:val="24"/>
          <w:szCs w:val="24"/>
          <w:cs/>
        </w:rPr>
        <w:t>สำนักงานสถิติแห่งชาติ (</w:t>
      </w:r>
      <w:r w:rsidR="003D4504">
        <w:rPr>
          <w:rFonts w:ascii="TH SarabunIT๙" w:hAnsi="TH SarabunIT๙" w:cs="TH SarabunIT๙"/>
          <w:sz w:val="24"/>
          <w:szCs w:val="24"/>
        </w:rPr>
        <w:t>WWW nso.go.th</w:t>
      </w:r>
      <w:r w:rsidR="003D4504">
        <w:rPr>
          <w:rFonts w:ascii="TH SarabunIT๙" w:hAnsi="TH SarabunIT๙" w:cs="TH SarabunIT๙" w:hint="cs"/>
          <w:sz w:val="24"/>
          <w:szCs w:val="24"/>
          <w:cs/>
        </w:rPr>
        <w:t>) สถิติการใช้ที่ดินจังหวัดพ</w:t>
      </w:r>
      <w:r w:rsidR="008319CF">
        <w:rPr>
          <w:rFonts w:ascii="TH SarabunIT๙" w:hAnsi="TH SarabunIT๙" w:cs="TH SarabunIT๙" w:hint="cs"/>
          <w:sz w:val="24"/>
          <w:szCs w:val="24"/>
          <w:cs/>
        </w:rPr>
        <w:t>ะเยา ปี 2562  ณ  30 กันยายน 2563</w:t>
      </w:r>
    </w:p>
    <w:p w:rsidR="00FD57C9" w:rsidRDefault="00FD57C9" w:rsidP="009D021E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FE1435" w:rsidRDefault="00FE1435" w:rsidP="009D021E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FE1435" w:rsidRPr="00AF2C38" w:rsidRDefault="00FE1435" w:rsidP="009D021E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955DDA" w:rsidRDefault="00955DDA" w:rsidP="009D021E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FA486E" w:rsidRDefault="00955DDA" w:rsidP="009D021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5DDA" w:rsidRDefault="00955DDA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พื้นที่ของจังหวัดพะเยาส่วนใหญ่  ยังคงเป็นพื้นที่ป่าไม้  ในขณะที่พื้นที่ที่มีอยู่มากรองลงมา  คือ  พื้นที่ใช้สำหรับการเกษตร  โดยพื้นที่ส่วนใหญ่ใช้ในการปลูกข้าวนาปี  ระบบการปลูกพืชในที่ราบลุ่ม  เกษตรกรจะปลูกข้าวนาปีเป็นพืชหลัก  หลังการเก็บเกี่ยวจะปล</w:t>
      </w:r>
      <w:r w:rsidR="000920A1">
        <w:rPr>
          <w:rFonts w:ascii="TH SarabunIT๙" w:hAnsi="TH SarabunIT๙" w:cs="TH SarabunIT๙" w:hint="cs"/>
          <w:sz w:val="32"/>
          <w:szCs w:val="32"/>
          <w:cs/>
        </w:rPr>
        <w:t xml:space="preserve">ูกพืชต่างๆ ตาม 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กระเทียม  หอมแดง  และพืชผักต่างๆในที่ดอน</w:t>
      </w:r>
      <w:r w:rsidR="00A5484E">
        <w:rPr>
          <w:rFonts w:ascii="TH SarabunIT๙" w:hAnsi="TH SarabunIT๙" w:cs="TH SarabunIT๙" w:hint="cs"/>
          <w:sz w:val="32"/>
          <w:szCs w:val="32"/>
          <w:cs/>
        </w:rPr>
        <w:t xml:space="preserve">  อาศัยน้ำฝน  เกษตรกรจะปลูกพืชไร่  เช่น  ข้าวโพดเลี้ยงสัตว์  ฝ้าย  ถั่งเหลือง  ขิง  หรือบางพื้นที่หลังการเก</w:t>
      </w:r>
      <w:r w:rsidR="00A634C5">
        <w:rPr>
          <w:rFonts w:ascii="TH SarabunIT๙" w:hAnsi="TH SarabunIT๙" w:cs="TH SarabunIT๙" w:hint="cs"/>
          <w:sz w:val="32"/>
          <w:szCs w:val="32"/>
          <w:cs/>
        </w:rPr>
        <w:t>็บเกี่ยวจะปลูกพืชตาม  เช่น</w:t>
      </w:r>
      <w:r w:rsidR="00A5484E">
        <w:rPr>
          <w:rFonts w:ascii="TH SarabunIT๙" w:hAnsi="TH SarabunIT๙" w:cs="TH SarabunIT๙" w:hint="cs"/>
          <w:sz w:val="32"/>
          <w:szCs w:val="32"/>
          <w:cs/>
        </w:rPr>
        <w:t xml:space="preserve"> ข้าวโพด-ข้าวโพด</w:t>
      </w:r>
      <w:r w:rsidR="00A634C5">
        <w:rPr>
          <w:rFonts w:ascii="TH SarabunIT๙" w:hAnsi="TH SarabunIT๙" w:cs="TH SarabunIT๙" w:hint="cs"/>
          <w:sz w:val="32"/>
          <w:szCs w:val="32"/>
          <w:cs/>
        </w:rPr>
        <w:t xml:space="preserve">  ข้าวโพด-ถั่วเขียว  ถั่วเหลือง-ถั่วเหลือง  เป็นต้น  ส่วนในสวนไม้ผลที่ต้นยังเล็กอยู่  เกษตรกรจะปลูกพืชแซม  เช่น  พืชผัก  </w:t>
      </w:r>
      <w:r w:rsidR="00F755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4C5">
        <w:rPr>
          <w:rFonts w:ascii="TH SarabunIT๙" w:hAnsi="TH SarabunIT๙" w:cs="TH SarabunIT๙" w:hint="cs"/>
          <w:sz w:val="32"/>
          <w:szCs w:val="32"/>
          <w:cs/>
        </w:rPr>
        <w:t xml:space="preserve">พืชไร่ </w:t>
      </w:r>
      <w:r w:rsidR="000920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GoBack"/>
      <w:bookmarkEnd w:id="0"/>
      <w:r w:rsidR="00A634C5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B5F" w:rsidRDefault="00061B5F" w:rsidP="00F7556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269" w:rsidRPr="00A414E2" w:rsidRDefault="00AA0269" w:rsidP="001B43A6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AA0269" w:rsidRPr="00A414E2" w:rsidSect="00AD33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701" w:header="709" w:footer="709" w:gutter="0"/>
      <w:pgNumType w:fmt="thaiNumbers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FB" w:rsidRDefault="00D174FB" w:rsidP="00701A62">
      <w:r>
        <w:separator/>
      </w:r>
    </w:p>
  </w:endnote>
  <w:endnote w:type="continuationSeparator" w:id="0">
    <w:p w:rsidR="00D174FB" w:rsidRDefault="00D174FB" w:rsidP="0070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35" w:rsidRDefault="00FE14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35" w:rsidRDefault="00FE14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35" w:rsidRDefault="00FE14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FB" w:rsidRDefault="00D174FB" w:rsidP="00701A62">
      <w:r>
        <w:separator/>
      </w:r>
    </w:p>
  </w:footnote>
  <w:footnote w:type="continuationSeparator" w:id="0">
    <w:p w:rsidR="00D174FB" w:rsidRDefault="00D174FB" w:rsidP="0070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35" w:rsidRDefault="00FE14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82309"/>
      <w:docPartObj>
        <w:docPartGallery w:val="Page Numbers (Top of Page)"/>
        <w:docPartUnique/>
      </w:docPartObj>
    </w:sdtPr>
    <w:sdtEndPr/>
    <w:sdtContent>
      <w:p w:rsidR="00FE1435" w:rsidRDefault="00FE14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A1" w:rsidRPr="000920A1">
          <w:rPr>
            <w:noProof/>
            <w:cs/>
            <w:lang w:val="th-TH"/>
          </w:rPr>
          <w:t>๓๓</w:t>
        </w:r>
        <w:r>
          <w:fldChar w:fldCharType="end"/>
        </w:r>
      </w:p>
    </w:sdtContent>
  </w:sdt>
  <w:p w:rsidR="00FC377B" w:rsidRDefault="00FC377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35" w:rsidRDefault="00FE14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F1A"/>
    <w:multiLevelType w:val="hybridMultilevel"/>
    <w:tmpl w:val="4C7EE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E36BB"/>
    <w:multiLevelType w:val="hybridMultilevel"/>
    <w:tmpl w:val="12406214"/>
    <w:lvl w:ilvl="0" w:tplc="D6D06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C0C36"/>
    <w:multiLevelType w:val="hybridMultilevel"/>
    <w:tmpl w:val="350468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F46CB"/>
    <w:multiLevelType w:val="hybridMultilevel"/>
    <w:tmpl w:val="5B6A6A5C"/>
    <w:lvl w:ilvl="0" w:tplc="B8261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C60CE"/>
    <w:multiLevelType w:val="hybridMultilevel"/>
    <w:tmpl w:val="2112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177F"/>
    <w:multiLevelType w:val="hybridMultilevel"/>
    <w:tmpl w:val="49220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534B7"/>
    <w:multiLevelType w:val="hybridMultilevel"/>
    <w:tmpl w:val="8968CC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93E5A"/>
    <w:multiLevelType w:val="hybridMultilevel"/>
    <w:tmpl w:val="2772AFE2"/>
    <w:lvl w:ilvl="0" w:tplc="87346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809BE"/>
    <w:multiLevelType w:val="hybridMultilevel"/>
    <w:tmpl w:val="0C6A87E4"/>
    <w:lvl w:ilvl="0" w:tplc="CA32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91646"/>
    <w:multiLevelType w:val="hybridMultilevel"/>
    <w:tmpl w:val="E52EB4D8"/>
    <w:lvl w:ilvl="0" w:tplc="7332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0BF5"/>
    <w:multiLevelType w:val="hybridMultilevel"/>
    <w:tmpl w:val="C32C0C2E"/>
    <w:lvl w:ilvl="0" w:tplc="B810D4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802910"/>
    <w:multiLevelType w:val="hybridMultilevel"/>
    <w:tmpl w:val="AF083252"/>
    <w:lvl w:ilvl="0" w:tplc="59E4F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C65E3"/>
    <w:multiLevelType w:val="hybridMultilevel"/>
    <w:tmpl w:val="C8261234"/>
    <w:lvl w:ilvl="0" w:tplc="E7EE5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3D2B43"/>
    <w:multiLevelType w:val="hybridMultilevel"/>
    <w:tmpl w:val="632C2E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67828"/>
    <w:multiLevelType w:val="hybridMultilevel"/>
    <w:tmpl w:val="EC68FD5E"/>
    <w:lvl w:ilvl="0" w:tplc="DE8E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D14D0"/>
    <w:multiLevelType w:val="hybridMultilevel"/>
    <w:tmpl w:val="B964D1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2026C"/>
    <w:multiLevelType w:val="hybridMultilevel"/>
    <w:tmpl w:val="AA60B9BC"/>
    <w:lvl w:ilvl="0" w:tplc="8DC2D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4E3180"/>
    <w:multiLevelType w:val="hybridMultilevel"/>
    <w:tmpl w:val="F21816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86A1A"/>
    <w:multiLevelType w:val="hybridMultilevel"/>
    <w:tmpl w:val="27949D16"/>
    <w:lvl w:ilvl="0" w:tplc="57468998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8F75AB"/>
    <w:multiLevelType w:val="hybridMultilevel"/>
    <w:tmpl w:val="33C0C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A7216"/>
    <w:multiLevelType w:val="hybridMultilevel"/>
    <w:tmpl w:val="17325380"/>
    <w:lvl w:ilvl="0" w:tplc="84BA6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E97D5D"/>
    <w:multiLevelType w:val="hybridMultilevel"/>
    <w:tmpl w:val="0512E8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5"/>
  </w:num>
  <w:num w:numId="7">
    <w:abstractNumId w:val="17"/>
  </w:num>
  <w:num w:numId="8">
    <w:abstractNumId w:val="13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0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E"/>
    <w:rsid w:val="00004075"/>
    <w:rsid w:val="00016F34"/>
    <w:rsid w:val="00025985"/>
    <w:rsid w:val="00025E48"/>
    <w:rsid w:val="00036046"/>
    <w:rsid w:val="00054284"/>
    <w:rsid w:val="00061B5F"/>
    <w:rsid w:val="00061BA9"/>
    <w:rsid w:val="00066A7B"/>
    <w:rsid w:val="000819FC"/>
    <w:rsid w:val="000827A3"/>
    <w:rsid w:val="00090DFE"/>
    <w:rsid w:val="00091CEA"/>
    <w:rsid w:val="000920A1"/>
    <w:rsid w:val="00095EE1"/>
    <w:rsid w:val="000A58E2"/>
    <w:rsid w:val="000C02B3"/>
    <w:rsid w:val="000C0FF9"/>
    <w:rsid w:val="000C17C1"/>
    <w:rsid w:val="000C31F5"/>
    <w:rsid w:val="000D5868"/>
    <w:rsid w:val="000E3787"/>
    <w:rsid w:val="000F2291"/>
    <w:rsid w:val="001010FB"/>
    <w:rsid w:val="00102316"/>
    <w:rsid w:val="001048A3"/>
    <w:rsid w:val="00120471"/>
    <w:rsid w:val="00127BE6"/>
    <w:rsid w:val="00132BF9"/>
    <w:rsid w:val="001433E9"/>
    <w:rsid w:val="00143C90"/>
    <w:rsid w:val="00145AC2"/>
    <w:rsid w:val="00147641"/>
    <w:rsid w:val="00154384"/>
    <w:rsid w:val="001656AC"/>
    <w:rsid w:val="001659B8"/>
    <w:rsid w:val="00167FE3"/>
    <w:rsid w:val="001727AF"/>
    <w:rsid w:val="001901DF"/>
    <w:rsid w:val="00193AA0"/>
    <w:rsid w:val="001B43A6"/>
    <w:rsid w:val="001B5D20"/>
    <w:rsid w:val="001C5D8B"/>
    <w:rsid w:val="001F1CB0"/>
    <w:rsid w:val="001F7E86"/>
    <w:rsid w:val="00202256"/>
    <w:rsid w:val="00207068"/>
    <w:rsid w:val="00222235"/>
    <w:rsid w:val="002250D0"/>
    <w:rsid w:val="002347E7"/>
    <w:rsid w:val="00241DCA"/>
    <w:rsid w:val="00244004"/>
    <w:rsid w:val="00246F47"/>
    <w:rsid w:val="00256BD8"/>
    <w:rsid w:val="0026183C"/>
    <w:rsid w:val="0028069A"/>
    <w:rsid w:val="0029125B"/>
    <w:rsid w:val="00291847"/>
    <w:rsid w:val="00291B1F"/>
    <w:rsid w:val="00291FC4"/>
    <w:rsid w:val="00292C36"/>
    <w:rsid w:val="002938F3"/>
    <w:rsid w:val="002B6892"/>
    <w:rsid w:val="002B72AD"/>
    <w:rsid w:val="002C6F04"/>
    <w:rsid w:val="002D06A6"/>
    <w:rsid w:val="002D0D40"/>
    <w:rsid w:val="002D29C6"/>
    <w:rsid w:val="002E4EF6"/>
    <w:rsid w:val="002F53CB"/>
    <w:rsid w:val="0030498D"/>
    <w:rsid w:val="003126A3"/>
    <w:rsid w:val="00316B7B"/>
    <w:rsid w:val="00317A9A"/>
    <w:rsid w:val="00320B53"/>
    <w:rsid w:val="0033086F"/>
    <w:rsid w:val="00333E7A"/>
    <w:rsid w:val="003512A7"/>
    <w:rsid w:val="00355351"/>
    <w:rsid w:val="00367D0C"/>
    <w:rsid w:val="0038578C"/>
    <w:rsid w:val="00390CDA"/>
    <w:rsid w:val="00391DA3"/>
    <w:rsid w:val="0039608A"/>
    <w:rsid w:val="003A2B36"/>
    <w:rsid w:val="003A77A5"/>
    <w:rsid w:val="003B3FDB"/>
    <w:rsid w:val="003B4425"/>
    <w:rsid w:val="003C0100"/>
    <w:rsid w:val="003C52F4"/>
    <w:rsid w:val="003C6B07"/>
    <w:rsid w:val="003D4504"/>
    <w:rsid w:val="003D5B88"/>
    <w:rsid w:val="003F2B5F"/>
    <w:rsid w:val="00413599"/>
    <w:rsid w:val="00423006"/>
    <w:rsid w:val="00423D57"/>
    <w:rsid w:val="00430A83"/>
    <w:rsid w:val="00442D0A"/>
    <w:rsid w:val="0044323F"/>
    <w:rsid w:val="00443297"/>
    <w:rsid w:val="0044393F"/>
    <w:rsid w:val="004514CC"/>
    <w:rsid w:val="00454A0D"/>
    <w:rsid w:val="00456330"/>
    <w:rsid w:val="00476DE4"/>
    <w:rsid w:val="00484F44"/>
    <w:rsid w:val="004952E2"/>
    <w:rsid w:val="00496A10"/>
    <w:rsid w:val="004A2FB4"/>
    <w:rsid w:val="004B1F93"/>
    <w:rsid w:val="004B2AE7"/>
    <w:rsid w:val="004B5A62"/>
    <w:rsid w:val="004C0070"/>
    <w:rsid w:val="004C5BBE"/>
    <w:rsid w:val="004D528E"/>
    <w:rsid w:val="004D6A9B"/>
    <w:rsid w:val="004D7F0D"/>
    <w:rsid w:val="004E5012"/>
    <w:rsid w:val="004E7825"/>
    <w:rsid w:val="004F3049"/>
    <w:rsid w:val="004F4B72"/>
    <w:rsid w:val="004F54CE"/>
    <w:rsid w:val="00507745"/>
    <w:rsid w:val="00510CCA"/>
    <w:rsid w:val="005126A3"/>
    <w:rsid w:val="00513275"/>
    <w:rsid w:val="00516B33"/>
    <w:rsid w:val="00520267"/>
    <w:rsid w:val="00523094"/>
    <w:rsid w:val="0053588B"/>
    <w:rsid w:val="0054740C"/>
    <w:rsid w:val="005516CF"/>
    <w:rsid w:val="005540D3"/>
    <w:rsid w:val="00581619"/>
    <w:rsid w:val="00584098"/>
    <w:rsid w:val="005A003F"/>
    <w:rsid w:val="005A3200"/>
    <w:rsid w:val="005A61D2"/>
    <w:rsid w:val="005B23FF"/>
    <w:rsid w:val="005C2D27"/>
    <w:rsid w:val="005C5B03"/>
    <w:rsid w:val="005E3AA3"/>
    <w:rsid w:val="005F148E"/>
    <w:rsid w:val="005F5452"/>
    <w:rsid w:val="005F5F10"/>
    <w:rsid w:val="006003BE"/>
    <w:rsid w:val="00600678"/>
    <w:rsid w:val="00604EF7"/>
    <w:rsid w:val="00606FAA"/>
    <w:rsid w:val="00610592"/>
    <w:rsid w:val="00611F21"/>
    <w:rsid w:val="00615E8B"/>
    <w:rsid w:val="00641D1E"/>
    <w:rsid w:val="00641E6E"/>
    <w:rsid w:val="00642AF8"/>
    <w:rsid w:val="0064368B"/>
    <w:rsid w:val="006450C5"/>
    <w:rsid w:val="006602D6"/>
    <w:rsid w:val="00662B0D"/>
    <w:rsid w:val="00666CC5"/>
    <w:rsid w:val="00666CD2"/>
    <w:rsid w:val="00666E53"/>
    <w:rsid w:val="006726DB"/>
    <w:rsid w:val="00672AEC"/>
    <w:rsid w:val="00673E36"/>
    <w:rsid w:val="00684763"/>
    <w:rsid w:val="006953ED"/>
    <w:rsid w:val="006B0F97"/>
    <w:rsid w:val="006C36CF"/>
    <w:rsid w:val="006C4786"/>
    <w:rsid w:val="006D2462"/>
    <w:rsid w:val="006E1855"/>
    <w:rsid w:val="006F1461"/>
    <w:rsid w:val="006F6557"/>
    <w:rsid w:val="00701A62"/>
    <w:rsid w:val="00712F4B"/>
    <w:rsid w:val="00732F61"/>
    <w:rsid w:val="00740444"/>
    <w:rsid w:val="00741952"/>
    <w:rsid w:val="007503CE"/>
    <w:rsid w:val="00760396"/>
    <w:rsid w:val="00761B40"/>
    <w:rsid w:val="00770D74"/>
    <w:rsid w:val="0078369E"/>
    <w:rsid w:val="00790005"/>
    <w:rsid w:val="00795898"/>
    <w:rsid w:val="007A148B"/>
    <w:rsid w:val="007A1DAD"/>
    <w:rsid w:val="007C3246"/>
    <w:rsid w:val="007C6120"/>
    <w:rsid w:val="007D1425"/>
    <w:rsid w:val="007D34E1"/>
    <w:rsid w:val="007D350F"/>
    <w:rsid w:val="007D3A0F"/>
    <w:rsid w:val="007D76D8"/>
    <w:rsid w:val="007E10E0"/>
    <w:rsid w:val="007E318B"/>
    <w:rsid w:val="007F3267"/>
    <w:rsid w:val="008136DF"/>
    <w:rsid w:val="00814175"/>
    <w:rsid w:val="008145BF"/>
    <w:rsid w:val="00815661"/>
    <w:rsid w:val="00820549"/>
    <w:rsid w:val="0082727C"/>
    <w:rsid w:val="0083166E"/>
    <w:rsid w:val="008319CF"/>
    <w:rsid w:val="00856CE7"/>
    <w:rsid w:val="00862974"/>
    <w:rsid w:val="00863988"/>
    <w:rsid w:val="0087092B"/>
    <w:rsid w:val="00872393"/>
    <w:rsid w:val="00877840"/>
    <w:rsid w:val="00891669"/>
    <w:rsid w:val="008948DD"/>
    <w:rsid w:val="008A3028"/>
    <w:rsid w:val="008A460E"/>
    <w:rsid w:val="008A573A"/>
    <w:rsid w:val="008B6149"/>
    <w:rsid w:val="008B6AF4"/>
    <w:rsid w:val="008C7170"/>
    <w:rsid w:val="008D06B2"/>
    <w:rsid w:val="008D1297"/>
    <w:rsid w:val="008D77C3"/>
    <w:rsid w:val="008E39EF"/>
    <w:rsid w:val="008E4749"/>
    <w:rsid w:val="008F243B"/>
    <w:rsid w:val="008F3EC3"/>
    <w:rsid w:val="008F403F"/>
    <w:rsid w:val="008F64BB"/>
    <w:rsid w:val="00900154"/>
    <w:rsid w:val="00913A04"/>
    <w:rsid w:val="009174F4"/>
    <w:rsid w:val="00930AA4"/>
    <w:rsid w:val="00930C88"/>
    <w:rsid w:val="00941FF4"/>
    <w:rsid w:val="00950623"/>
    <w:rsid w:val="00955DDA"/>
    <w:rsid w:val="00956E63"/>
    <w:rsid w:val="0095735F"/>
    <w:rsid w:val="0096300E"/>
    <w:rsid w:val="00967B94"/>
    <w:rsid w:val="009769AC"/>
    <w:rsid w:val="00987AF7"/>
    <w:rsid w:val="00992910"/>
    <w:rsid w:val="00994E31"/>
    <w:rsid w:val="009A02CF"/>
    <w:rsid w:val="009A6C10"/>
    <w:rsid w:val="009B0268"/>
    <w:rsid w:val="009B25E1"/>
    <w:rsid w:val="009B6A9C"/>
    <w:rsid w:val="009C173C"/>
    <w:rsid w:val="009C4196"/>
    <w:rsid w:val="009C6964"/>
    <w:rsid w:val="009C766C"/>
    <w:rsid w:val="009D021E"/>
    <w:rsid w:val="009D4A64"/>
    <w:rsid w:val="009D60B7"/>
    <w:rsid w:val="009E300C"/>
    <w:rsid w:val="009E6CBB"/>
    <w:rsid w:val="009E7328"/>
    <w:rsid w:val="009E73F2"/>
    <w:rsid w:val="009F37E3"/>
    <w:rsid w:val="009F4B02"/>
    <w:rsid w:val="009F7462"/>
    <w:rsid w:val="00A112A1"/>
    <w:rsid w:val="00A24F5A"/>
    <w:rsid w:val="00A31D6A"/>
    <w:rsid w:val="00A33792"/>
    <w:rsid w:val="00A343D2"/>
    <w:rsid w:val="00A34A7C"/>
    <w:rsid w:val="00A414E2"/>
    <w:rsid w:val="00A46B36"/>
    <w:rsid w:val="00A5484E"/>
    <w:rsid w:val="00A56306"/>
    <w:rsid w:val="00A62142"/>
    <w:rsid w:val="00A626C3"/>
    <w:rsid w:val="00A634C5"/>
    <w:rsid w:val="00A64FD4"/>
    <w:rsid w:val="00A66440"/>
    <w:rsid w:val="00A80DEC"/>
    <w:rsid w:val="00A812C8"/>
    <w:rsid w:val="00AA0269"/>
    <w:rsid w:val="00AA03D2"/>
    <w:rsid w:val="00AA51EF"/>
    <w:rsid w:val="00AB44DD"/>
    <w:rsid w:val="00AB56DF"/>
    <w:rsid w:val="00AC2F90"/>
    <w:rsid w:val="00AC6825"/>
    <w:rsid w:val="00AD33F3"/>
    <w:rsid w:val="00AD4573"/>
    <w:rsid w:val="00AE0B7F"/>
    <w:rsid w:val="00AE73BA"/>
    <w:rsid w:val="00AF1F3D"/>
    <w:rsid w:val="00AF24C2"/>
    <w:rsid w:val="00AF2C38"/>
    <w:rsid w:val="00AF455C"/>
    <w:rsid w:val="00B00AE7"/>
    <w:rsid w:val="00B02B43"/>
    <w:rsid w:val="00B06D50"/>
    <w:rsid w:val="00B10C76"/>
    <w:rsid w:val="00B21A52"/>
    <w:rsid w:val="00B2275D"/>
    <w:rsid w:val="00B25D58"/>
    <w:rsid w:val="00B30227"/>
    <w:rsid w:val="00B56A44"/>
    <w:rsid w:val="00B56BD5"/>
    <w:rsid w:val="00B5781C"/>
    <w:rsid w:val="00B61CD8"/>
    <w:rsid w:val="00B64D85"/>
    <w:rsid w:val="00B705BA"/>
    <w:rsid w:val="00B705F3"/>
    <w:rsid w:val="00B7297F"/>
    <w:rsid w:val="00B7671D"/>
    <w:rsid w:val="00B85CE2"/>
    <w:rsid w:val="00B86D92"/>
    <w:rsid w:val="00BA3AB5"/>
    <w:rsid w:val="00BA433C"/>
    <w:rsid w:val="00BA70A5"/>
    <w:rsid w:val="00BB2E1D"/>
    <w:rsid w:val="00BE0F2F"/>
    <w:rsid w:val="00BF2990"/>
    <w:rsid w:val="00BF4B2F"/>
    <w:rsid w:val="00C03D88"/>
    <w:rsid w:val="00C17A32"/>
    <w:rsid w:val="00C26599"/>
    <w:rsid w:val="00C33013"/>
    <w:rsid w:val="00C60901"/>
    <w:rsid w:val="00C66A92"/>
    <w:rsid w:val="00C72070"/>
    <w:rsid w:val="00C80E88"/>
    <w:rsid w:val="00C82E74"/>
    <w:rsid w:val="00C83147"/>
    <w:rsid w:val="00C85140"/>
    <w:rsid w:val="00C910F2"/>
    <w:rsid w:val="00C93947"/>
    <w:rsid w:val="00C93C7D"/>
    <w:rsid w:val="00CA69B6"/>
    <w:rsid w:val="00CB271F"/>
    <w:rsid w:val="00CB381A"/>
    <w:rsid w:val="00CB6061"/>
    <w:rsid w:val="00CC0B0D"/>
    <w:rsid w:val="00CC1B62"/>
    <w:rsid w:val="00CC3659"/>
    <w:rsid w:val="00CC3E8E"/>
    <w:rsid w:val="00CD248A"/>
    <w:rsid w:val="00CE134E"/>
    <w:rsid w:val="00CE3BA3"/>
    <w:rsid w:val="00D0009A"/>
    <w:rsid w:val="00D058EA"/>
    <w:rsid w:val="00D150B2"/>
    <w:rsid w:val="00D174FB"/>
    <w:rsid w:val="00D23160"/>
    <w:rsid w:val="00D3408F"/>
    <w:rsid w:val="00D363B0"/>
    <w:rsid w:val="00D3722D"/>
    <w:rsid w:val="00D41BFA"/>
    <w:rsid w:val="00D43FC8"/>
    <w:rsid w:val="00D47A04"/>
    <w:rsid w:val="00D650D0"/>
    <w:rsid w:val="00D758B2"/>
    <w:rsid w:val="00D77119"/>
    <w:rsid w:val="00D85733"/>
    <w:rsid w:val="00D8649E"/>
    <w:rsid w:val="00D9041D"/>
    <w:rsid w:val="00D922E8"/>
    <w:rsid w:val="00D924C7"/>
    <w:rsid w:val="00DA0B93"/>
    <w:rsid w:val="00DA5649"/>
    <w:rsid w:val="00DC3E8F"/>
    <w:rsid w:val="00DE21F7"/>
    <w:rsid w:val="00DE4E5B"/>
    <w:rsid w:val="00DF1D70"/>
    <w:rsid w:val="00DF2252"/>
    <w:rsid w:val="00DF28AC"/>
    <w:rsid w:val="00DF50BD"/>
    <w:rsid w:val="00E00A53"/>
    <w:rsid w:val="00E0723A"/>
    <w:rsid w:val="00E1441F"/>
    <w:rsid w:val="00E207B7"/>
    <w:rsid w:val="00E214F2"/>
    <w:rsid w:val="00E21B84"/>
    <w:rsid w:val="00E2513D"/>
    <w:rsid w:val="00E35DF5"/>
    <w:rsid w:val="00E42694"/>
    <w:rsid w:val="00E50A29"/>
    <w:rsid w:val="00E52500"/>
    <w:rsid w:val="00E5405D"/>
    <w:rsid w:val="00E543A9"/>
    <w:rsid w:val="00E549A2"/>
    <w:rsid w:val="00E577BF"/>
    <w:rsid w:val="00E64077"/>
    <w:rsid w:val="00E72782"/>
    <w:rsid w:val="00E727F4"/>
    <w:rsid w:val="00E81EA0"/>
    <w:rsid w:val="00E82DB0"/>
    <w:rsid w:val="00E965D8"/>
    <w:rsid w:val="00EA0806"/>
    <w:rsid w:val="00EB205C"/>
    <w:rsid w:val="00EF4111"/>
    <w:rsid w:val="00F22C97"/>
    <w:rsid w:val="00F238AD"/>
    <w:rsid w:val="00F24D18"/>
    <w:rsid w:val="00F30392"/>
    <w:rsid w:val="00F41622"/>
    <w:rsid w:val="00F41DB3"/>
    <w:rsid w:val="00F440D2"/>
    <w:rsid w:val="00F45B9D"/>
    <w:rsid w:val="00F54029"/>
    <w:rsid w:val="00F6101F"/>
    <w:rsid w:val="00F61D63"/>
    <w:rsid w:val="00F644F8"/>
    <w:rsid w:val="00F70E37"/>
    <w:rsid w:val="00F72AC2"/>
    <w:rsid w:val="00F75567"/>
    <w:rsid w:val="00F85833"/>
    <w:rsid w:val="00FA486E"/>
    <w:rsid w:val="00FB1A92"/>
    <w:rsid w:val="00FB28DE"/>
    <w:rsid w:val="00FB53A0"/>
    <w:rsid w:val="00FB5D5D"/>
    <w:rsid w:val="00FC23BA"/>
    <w:rsid w:val="00FC377B"/>
    <w:rsid w:val="00FD2C4D"/>
    <w:rsid w:val="00FD45AB"/>
    <w:rsid w:val="00FD4672"/>
    <w:rsid w:val="00FD57C9"/>
    <w:rsid w:val="00FE1435"/>
    <w:rsid w:val="00FE7096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F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0FF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6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A6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01A6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01A6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01A6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F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0FF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6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A6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01A6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01A6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01A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การใช้ประโยชน์ที่ดิน</c:v>
                </c:pt>
              </c:strCache>
            </c:strRef>
          </c:tx>
          <c:explosion val="4"/>
          <c:dPt>
            <c:idx val="1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aseline="0">
                        <a:latin typeface="TH SarabunIT๙" pitchFamily="34" charset="-34"/>
                        <a:cs typeface="TH SarabunIT๙" pitchFamily="34" charset="-34"/>
                      </a:rPr>
                      <a:t>1</a:t>
                    </a:r>
                    <a:r>
                      <a:rPr lang="th-TH" sz="1400" baseline="0">
                        <a:latin typeface="TH SarabunIT๙" pitchFamily="34" charset="-34"/>
                        <a:cs typeface="TH SarabunIT๙" pitchFamily="34" charset="-34"/>
                      </a:rPr>
                      <a:t>,991,03</a:t>
                    </a:r>
                    <a:r>
                      <a:rPr lang="en-US" sz="1400" baseline="0">
                        <a:latin typeface="TH SarabunIT๙" pitchFamily="34" charset="-34"/>
                        <a:cs typeface="TH SarabunIT๙" pitchFamily="34" charset="-34"/>
                      </a:rPr>
                      <a:t>  </a:t>
                    </a:r>
                    <a:r>
                      <a:rPr lang="th-TH" sz="1400" baseline="0">
                        <a:latin typeface="TH SarabunIT๙" pitchFamily="34" charset="-34"/>
                        <a:cs typeface="TH SarabunIT๙" pitchFamily="34" charset="-34"/>
                      </a:rPr>
                      <a:t>ไร่</a:t>
                    </a:r>
                    <a:endParaRPr lang="en-US" sz="1400" baseline="0">
                      <a:latin typeface="TH SarabunIT๙" pitchFamily="34" charset="-34"/>
                      <a:cs typeface="TH SarabunIT๙" pitchFamily="34" charset="-34"/>
                    </a:endParaRPr>
                  </a:p>
                  <a:p>
                    <a:r>
                      <a:rPr lang="en-US" sz="1400">
                        <a:latin typeface="TH SarabunIT๙" pitchFamily="34" charset="-34"/>
                        <a:cs typeface="TH SarabunIT๙" pitchFamily="34" charset="-34"/>
                      </a:rPr>
                      <a:t>50.</a:t>
                    </a:r>
                    <a:r>
                      <a:rPr lang="th-TH" sz="1400">
                        <a:latin typeface="TH SarabunIT๙" pitchFamily="34" charset="-34"/>
                        <a:cs typeface="TH SarabunIT๙" pitchFamily="34" charset="-34"/>
                      </a:rPr>
                      <a:t>29 </a:t>
                    </a:r>
                    <a:r>
                      <a:rPr lang="en-US" sz="1400">
                        <a:latin typeface="TH SarabunIT๙" pitchFamily="34" charset="-34"/>
                        <a:cs typeface="TH SarabunIT๙" pitchFamily="34" charset="-34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>
                        <a:latin typeface="TH SarabunIT๙" pitchFamily="34" charset="-34"/>
                        <a:cs typeface="TH SarabunIT๙" pitchFamily="34" charset="-34"/>
                      </a:rPr>
                      <a:t>1</a:t>
                    </a:r>
                    <a:r>
                      <a:rPr lang="th-TH" sz="1400">
                        <a:latin typeface="TH SarabunIT๙" pitchFamily="34" charset="-34"/>
                        <a:cs typeface="TH SarabunIT๙" pitchFamily="34" charset="-34"/>
                      </a:rPr>
                      <a:t>,503,635</a:t>
                    </a:r>
                    <a:r>
                      <a:rPr lang="th-TH" sz="1400" baseline="0">
                        <a:latin typeface="TH SarabunIT๙" pitchFamily="34" charset="-34"/>
                        <a:cs typeface="TH SarabunIT๙" pitchFamily="34" charset="-34"/>
                      </a:rPr>
                      <a:t>  ไร่</a:t>
                    </a:r>
                  </a:p>
                  <a:p>
                    <a:r>
                      <a:rPr lang="en-US" sz="1400">
                        <a:latin typeface="TH SarabunIT๙" pitchFamily="34" charset="-34"/>
                        <a:cs typeface="TH SarabunIT๙" pitchFamily="34" charset="-34"/>
                      </a:rPr>
                      <a:t>37.98</a:t>
                    </a:r>
                    <a:r>
                      <a:rPr lang="th-TH" sz="1400">
                        <a:latin typeface="TH SarabunIT๙" pitchFamily="34" charset="-34"/>
                        <a:cs typeface="TH SarabunIT๙" pitchFamily="34" charset="-34"/>
                      </a:rPr>
                      <a:t> </a:t>
                    </a:r>
                    <a:r>
                      <a:rPr lang="en-US" sz="1400">
                        <a:latin typeface="TH SarabunIT๙" pitchFamily="34" charset="-34"/>
                        <a:cs typeface="TH SarabunIT๙" pitchFamily="34" charset="-34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th-TH" sz="1400">
                        <a:latin typeface="TH SarabunIT๙" pitchFamily="34" charset="-34"/>
                        <a:cs typeface="TH SarabunIT๙" pitchFamily="34" charset="-34"/>
                      </a:rPr>
                      <a:t>464,374  ไร่ </a:t>
                    </a:r>
                  </a:p>
                  <a:p>
                    <a:r>
                      <a:rPr lang="en-US" sz="1400">
                        <a:latin typeface="TH SarabunIT๙" pitchFamily="34" charset="-34"/>
                        <a:cs typeface="TH SarabunIT๙" pitchFamily="34" charset="-34"/>
                      </a:rPr>
                      <a:t>11.73%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เนื้อที่ป่าไม้</c:v>
                </c:pt>
                <c:pt idx="1">
                  <c:v>เนื้อที่ถีอครองทางการเกษตร</c:v>
                </c:pt>
                <c:pt idx="2">
                  <c:v>เนื้อที่นอกการเกษตร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50.57</c:v>
                </c:pt>
                <c:pt idx="1">
                  <c:v>37.93</c:v>
                </c:pt>
                <c:pt idx="2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612842665500147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752187226596669E-2"/>
          <c:y val="0.16075743259365308"/>
          <c:w val="0.592716717701954"/>
          <c:h val="0.7160608923884513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ที่ดินเพื่อการเกษตร</c:v>
                </c:pt>
              </c:strCache>
            </c:strRef>
          </c:tx>
          <c:spPr>
            <a:solidFill>
              <a:srgbClr val="00B050"/>
            </a:solidFill>
          </c:spPr>
          <c:explosion val="25"/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th-TH" sz="1200">
                        <a:latin typeface="TH SarabunIT๙" pitchFamily="34" charset="-34"/>
                        <a:cs typeface="TH SarabunIT๙" pitchFamily="34" charset="-34"/>
                      </a:rPr>
                      <a:t>ที่นา</a:t>
                    </a:r>
                    <a:r>
                      <a:rPr lang="th-TH" sz="1200" baseline="0">
                        <a:latin typeface="TH SarabunIT๙" pitchFamily="34" charset="-34"/>
                        <a:cs typeface="TH SarabunIT๙" pitchFamily="34" charset="-34"/>
                      </a:rPr>
                      <a:t> </a:t>
                    </a:r>
                    <a:r>
                      <a:rPr lang="en-US" sz="1200">
                        <a:latin typeface="TH SarabunIT๙" pitchFamily="34" charset="-34"/>
                        <a:cs typeface="TH SarabunIT๙" pitchFamily="34" charset="-34"/>
                      </a:rPr>
                      <a:t>48.54 %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th-TH" sz="1200">
                        <a:latin typeface="TH SarabunIT๙" pitchFamily="34" charset="-34"/>
                        <a:cs typeface="TH SarabunIT๙" pitchFamily="34" charset="-34"/>
                      </a:rPr>
                      <a:t>ที่ไร่</a:t>
                    </a:r>
                    <a:r>
                      <a:rPr lang="th-TH" sz="1200" baseline="0">
                        <a:latin typeface="TH SarabunIT๙" pitchFamily="34" charset="-34"/>
                        <a:cs typeface="TH SarabunIT๙" pitchFamily="34" charset="-34"/>
                      </a:rPr>
                      <a:t>  20.44 </a:t>
                    </a:r>
                    <a:r>
                      <a:rPr lang="en-US" sz="1200" baseline="0">
                        <a:latin typeface="TH SarabunIT๙" pitchFamily="34" charset="-34"/>
                        <a:cs typeface="TH SarabunIT๙" pitchFamily="34" charset="-34"/>
                      </a:rPr>
                      <a:t>%</a:t>
                    </a:r>
                    <a:endParaRPr lang="th-TH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th-TH" sz="1200">
                        <a:latin typeface="TH SarabunIT๙" pitchFamily="34" charset="-34"/>
                        <a:cs typeface="TH SarabunIT๙" pitchFamily="34" charset="-34"/>
                      </a:rPr>
                      <a:t>ที่ไม้ผลและไม้ยืนต้น</a:t>
                    </a:r>
                    <a:r>
                      <a:rPr lang="th-TH" sz="1200" baseline="0">
                        <a:latin typeface="TH SarabunIT๙" pitchFamily="34" charset="-34"/>
                        <a:cs typeface="TH SarabunIT๙" pitchFamily="34" charset="-34"/>
                      </a:rPr>
                      <a:t> 24.07</a:t>
                    </a:r>
                    <a:r>
                      <a:rPr lang="en-US" sz="1200" baseline="0">
                        <a:latin typeface="TH SarabunIT๙" pitchFamily="34" charset="-34"/>
                        <a:cs typeface="TH SarabunIT๙" pitchFamily="34" charset="-34"/>
                      </a:rPr>
                      <a:t> %</a:t>
                    </a:r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th-TH" sz="1200">
                        <a:latin typeface="TH SarabunIT๙" pitchFamily="34" charset="-34"/>
                        <a:cs typeface="TH SarabunIT๙" pitchFamily="34" charset="-34"/>
                      </a:rPr>
                      <a:t>ที่ที่สวน(ผัก,ไม้ดอก,ไม้ประดับ</a:t>
                    </a:r>
                    <a:r>
                      <a:rPr lang="th-TH" sz="1200" baseline="0">
                        <a:latin typeface="TH SarabunIT๙" pitchFamily="34" charset="-34"/>
                        <a:cs typeface="TH SarabunIT๙" pitchFamily="34" charset="-34"/>
                      </a:rPr>
                      <a:t> 1.70 </a:t>
                    </a:r>
                    <a:r>
                      <a:rPr lang="en-US" sz="1200" baseline="0">
                        <a:latin typeface="TH SarabunIT๙" pitchFamily="34" charset="-34"/>
                        <a:cs typeface="TH SarabunIT๙" pitchFamily="34" charset="-34"/>
                      </a:rPr>
                      <a:t>%</a:t>
                    </a:r>
                    <a:endParaRPr lang="th-TH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th-TH" sz="1200">
                        <a:latin typeface="TH SarabunIT๙" pitchFamily="34" charset="-34"/>
                        <a:cs typeface="TH SarabunIT๙" pitchFamily="34" charset="-34"/>
                      </a:rPr>
                      <a:t>การเกษตรอื่นๆ </a:t>
                    </a:r>
                    <a:r>
                      <a:rPr lang="en-US" sz="1200">
                        <a:latin typeface="TH SarabunIT๙" pitchFamily="34" charset="-34"/>
                        <a:cs typeface="TH SarabunIT๙" pitchFamily="34" charset="-34"/>
                      </a:rPr>
                      <a:t>5.25 %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ที่นา</c:v>
                </c:pt>
                <c:pt idx="1">
                  <c:v>ที่ไร่</c:v>
                </c:pt>
                <c:pt idx="2">
                  <c:v>ที่ไม้ผลและไม้ยืนต้น</c:v>
                </c:pt>
                <c:pt idx="3">
                  <c:v>ที่สวน(ผัก,ไม้ดอก,ม้ประดับ)</c:v>
                </c:pt>
                <c:pt idx="4">
                  <c:v>การเกษตรอื่นๆ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0.48599999999999999</c:v>
                </c:pt>
                <c:pt idx="1">
                  <c:v>0.20480000000000001</c:v>
                </c:pt>
                <c:pt idx="2">
                  <c:v>0.2402</c:v>
                </c:pt>
                <c:pt idx="3">
                  <c:v>1.66E-2</c:v>
                </c:pt>
                <c:pt idx="4">
                  <c:v>5.2400000000000002E-2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97C0-91EB-4EE8-B958-7B51C76A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WIN8.1</cp:lastModifiedBy>
  <cp:revision>99</cp:revision>
  <cp:lastPrinted>2018-01-08T07:49:00Z</cp:lastPrinted>
  <dcterms:created xsi:type="dcterms:W3CDTF">2016-06-30T05:42:00Z</dcterms:created>
  <dcterms:modified xsi:type="dcterms:W3CDTF">2021-01-07T07:52:00Z</dcterms:modified>
</cp:coreProperties>
</file>